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Arial" w:cs="Arial" w:eastAsia="Arial" w:hAnsi="Arial"/>
          <w:b/>
          <w:bCs/>
          <w:color w:val="D4A843"/>
          <w:sz w:val="16"/>
          <w:szCs w:val="16"/>
        </w:rPr>
        <w:t xml:space="preserve">FACILITYAI by UpFmIA</w:t>
      </w:r>
      <w:r>
        <w:rPr>
          <w:rFonts w:ascii="Arial" w:cs="Arial" w:eastAsia="Arial" w:hAnsi="Arial"/>
          <w:color w:val="7A9BBF"/>
          <w:sz w:val="16"/>
          <w:szCs w:val="16"/>
        </w:rPr>
        <w:t xml:space="preserve">  |  expertise-fm.fr  |  INPI N°5238079</w:t>
      </w:r>
    </w:p>
    <w:p>
      <w:pPr>
        <w:pBdr>
          <w:bottom w:val="single" w:color="1C3A5E" w:sz="8" w:space="1"/>
        </w:pBdr>
        <w:spacing w:after="80" w:before="160"/>
      </w:pPr>
      <w:r>
        <w:rPr>
          <w:rFonts w:ascii="Arial" w:cs="Arial" w:eastAsia="Arial" w:hAnsi="Arial"/>
          <w:b/>
          <w:bCs/>
          <w:color w:val="1C3A5E"/>
          <w:sz w:val="28"/>
          <w:szCs w:val="28"/>
        </w:rPr>
        <w:t xml:space="preserve">NOTE D’ALERTE TECHNIQUE À LA DIRECTION</w:t>
      </w:r>
    </w:p>
    <w:p>
      <w:pPr>
        <w:spacing w:after="240"/>
      </w:pPr>
      <w:r>
        <w:rPr>
          <w:rFonts w:ascii="Arial" w:cs="Arial" w:eastAsia="Arial" w:hAnsi="Arial"/>
          <w:color w:val="4a5568"/>
          <w:sz w:val="20"/>
          <w:szCs w:val="20"/>
        </w:rPr>
        <w:t xml:space="preserve">Signalétique d’un risque technique urgent — Diffusion immédiate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C0392B"/>
          <w:sz w:val="18"/>
          <w:szCs w:val="18"/>
        </w:rPr>
        <w:t xml:space="preserve">🚨  Ce document doit être transmis immédiatement à la Direction Générale des Services dès signature. Conserver dans les archives de la direction.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313"/>
        <w:gridCol w:w="2200"/>
        <w:gridCol w:w="2313"/>
      </w:tblGrid>
      <w:tr>
        <w:tc>
          <w:tcPr>
            <w:tcW w:type="dxa" w:w="2200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N° alerte</w:t>
            </w:r>
          </w:p>
        </w:tc>
        <w:tc>
          <w:tcPr>
            <w:tcW w:type="dxa" w:w="23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 / Heure</w:t>
            </w:r>
          </w:p>
        </w:tc>
        <w:tc>
          <w:tcPr>
            <w:tcW w:type="dxa" w:w="23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Émis par</w:t>
            </w:r>
          </w:p>
        </w:tc>
        <w:tc>
          <w:tcPr>
            <w:tcW w:type="dxa" w:w="23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Destiné à</w:t>
            </w:r>
          </w:p>
        </w:tc>
        <w:tc>
          <w:tcPr>
            <w:tcW w:type="dxa" w:w="23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D4A843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1C3A5E"/>
          <w:sz w:val="22"/>
          <w:szCs w:val="22"/>
        </w:rPr>
        <w:t xml:space="preserve">1 — NATURE ET NIVEAU DU RISQUE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Niveau d’urgence</w:t>
            </w:r>
          </w:p>
        </w:tc>
        <w:tc>
          <w:tcPr>
            <w:tcW w:type="dxa" w:w="4513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Type de risque</w:t>
            </w:r>
          </w:p>
        </w:tc>
      </w:tr>
      <w:tr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☐ CRITIQUE — Arrêt activité requis
☐ ÉLEVÉ — Intervention sous 4h
☐ MOYEN — Traitement sous 24h</w:t>
            </w:r>
          </w:p>
        </w:tc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☐ Sécurité incendie
☐ Sécurité électrique
☐ Structure / Clos couvert
☐ CVC / Fluides
☐ Accessibilité / PMR
☐ Autre : ___________</w:t>
            </w:r>
          </w:p>
        </w:tc>
      </w:tr>
    </w:tbl>
    <w:p>
      <w:pPr>
        <w:spacing w:after="200"/>
      </w:pPr>
    </w:p>
    <w:p>
      <w:pPr>
        <w:pBdr>
          <w:bottom w:val="single" w:color="D4A843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1C3A5E"/>
          <w:sz w:val="22"/>
          <w:szCs w:val="22"/>
        </w:rPr>
        <w:t xml:space="preserve">2 — DESCRIPTION DE LA SITUATION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Localisation précise du risque (bâtiment, étage, zone)</w:t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Faits constatés (décrire objectivement, sans interprétation)</w:t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Impact potentiel (usagers, continuité de service, réglementation)</w:t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D4A843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1C3A5E"/>
          <w:sz w:val="22"/>
          <w:szCs w:val="22"/>
        </w:rPr>
        <w:t xml:space="preserve">3 — MESURES CONSERVATOIRES PRISES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2000"/>
        <w:gridCol w:w="1526"/>
      </w:tblGrid>
      <w:tr>
        <w:tc>
          <w:tcPr>
            <w:tcW w:type="dxa" w:w="5500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2D54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Mesure prise immédiatement</w:t>
            </w:r>
          </w:p>
        </w:tc>
        <w:tc>
          <w:tcPr>
            <w:tcW w:type="dxa" w:w="2000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2D54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Pris en charge par</w:t>
            </w:r>
          </w:p>
        </w:tc>
        <w:tc>
          <w:tcPr>
            <w:tcW w:type="dxa" w:w="1526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2D54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À quelle heure</w:t>
            </w:r>
          </w:p>
        </w:tc>
      </w:tr>
      <w:tr>
        <w:tc>
          <w:tcPr>
            <w:tcW w:type="dxa" w:w="55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15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5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15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5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15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5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15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D4A843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1C3A5E"/>
          <w:sz w:val="22"/>
          <w:szCs w:val="22"/>
        </w:rPr>
        <w:t xml:space="preserve">4 — RECOMMANDATIONS ET ARBITRAGES REQUIS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2D54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Arbitrage demandé à la Direction (fermeture, évacuation, commande d’urgence...)</w:t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2D54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Solution proposée et coût estimé</w:t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26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D4A843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1C3A5E"/>
          <w:sz w:val="22"/>
          <w:szCs w:val="22"/>
        </w:rPr>
        <w:t xml:space="preserve">5 — VISA ET DÉCISION DGS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2D54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Directeur du Patrimoine</w:t>
            </w:r>
          </w:p>
        </w:tc>
        <w:tc>
          <w:tcPr>
            <w:tcW w:type="dxa" w:w="4513"/>
            <w:tcBorders>
              <w:top w:val="single" w:color="1C3A5E" w:sz="4"/>
              <w:left w:val="single" w:color="1C3A5E" w:sz="4"/>
              <w:bottom w:val="single" w:color="1C3A5E" w:sz="4"/>
              <w:right w:val="single" w:color="1C3A5E" w:sz="4"/>
            </w:tcBorders>
            <w:shd w:fill="C039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DGS — Décision</w:t>
            </w:r>
          </w:p>
        </w:tc>
      </w:tr>
      <w:tr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Nom :</w:t>
            </w:r>
          </w:p>
        </w:tc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E5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☐ Accord action immédiate
☐ Réunion de crise convoquée
☐ Différé — motif :</w:t>
            </w:r>
          </w:p>
        </w:tc>
      </w:tr>
      <w:tr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Date / Heure :</w:t>
            </w:r>
          </w:p>
        </w:tc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Date / Heure :</w:t>
            </w:r>
          </w:p>
        </w:tc>
      </w:tr>
      <w:tr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Visa :</w:t>
            </w:r>
          </w:p>
        </w:tc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>Visa DGS :</w:t>
            </w:r>
          </w:p>
        </w:tc>
      </w:tr>
      <w:tr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  <w:tc>
          <w:tcPr>
            <w:tcW w:type="dxa" w:w="4513"/>
            <w:tcBorders>
              <w:top w:val="single" w:color="CBD5E0" w:sz="1"/>
              <w:left w:val="single" w:color="CBD5E0" w:sz="1"/>
              <w:bottom w:val="single" w:color="CBD5E0" w:sz="1"/>
              <w:right w:val="single" w:color="CBD5E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2535"/>
                <w:sz w:val="18"/>
                <w:szCs w:val="18"/>
              </w:rPr>
              <w:t xml:space="preserve"/>
            </w:r>
          </w:p>
        </w:tc>
      </w:tr>
    </w:tbl>
    <w:p>
      <w:pPr>
        <w:spacing w:after="300"/>
      </w:pPr>
    </w:p>
    <w:p>
      <w:pPr>
        <w:pBdr>
          <w:top w:val="single" w:color="D4A843" w:sz="4" w:space="1"/>
        </w:pBdr>
        <w:spacing w:after="0" w:before="400"/>
      </w:pPr>
      <w:r>
        <w:rPr>
          <w:rFonts w:ascii="Arial" w:cs="Arial" w:eastAsia="Arial" w:hAnsi="Arial"/>
          <w:color w:val="7A9BBF"/>
          <w:sz w:val="16"/>
          <w:szCs w:val="16"/>
        </w:rPr>
        <w:t xml:space="preserve">FACILITYAI by UpFmIA  ·  expertise-fm.fr  ·  © 2026  ·  INPI N°5238079  ·  Tous droits réservés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2026-04-13T00:11:45.083Z</dcterms:created>
  <dcterms:modified xsi:type="dcterms:W3CDTF">2026-04-13T00:11:45.083Z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